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7A1150">
        <w:rPr>
          <w:rFonts w:ascii="Times New Roman" w:hAnsi="Times New Roman" w:cs="Times New Roman"/>
        </w:rPr>
        <w:t>по состоянию на 31.08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B16085">
        <w:rPr>
          <w:rFonts w:ascii="Times New Roman" w:hAnsi="Times New Roman" w:cs="Times New Roman"/>
        </w:rPr>
        <w:t>нного фонда инвестированы в 1077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1608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C4B63" w:rsidRPr="00DC6881" w:rsidTr="00BC4B63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63" w:rsidRPr="00DC6881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B63" w:rsidRPr="0020129A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20.21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63" w:rsidRPr="00BC4B63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B63">
              <w:rPr>
                <w:rFonts w:ascii="Times New Roman" w:hAnsi="Times New Roman" w:cs="Times New Roman"/>
              </w:rPr>
              <w:t>20.60</w:t>
            </w:r>
          </w:p>
        </w:tc>
      </w:tr>
      <w:tr w:rsidR="00BC4B63" w:rsidRPr="00DC6881" w:rsidTr="00BC4B63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63" w:rsidRPr="00DC6881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B63" w:rsidRPr="0020129A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98.53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63" w:rsidRPr="00BC4B63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B63">
              <w:rPr>
                <w:rFonts w:ascii="Times New Roman" w:hAnsi="Times New Roman" w:cs="Times New Roman"/>
              </w:rPr>
              <w:t>99.66</w:t>
            </w:r>
          </w:p>
        </w:tc>
      </w:tr>
      <w:tr w:rsidR="00BC4B63" w:rsidRPr="00DC6881" w:rsidTr="00BC4B63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63" w:rsidRPr="00DC6881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B63" w:rsidRPr="0020129A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136.87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63" w:rsidRPr="00BC4B63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B63">
              <w:rPr>
                <w:rFonts w:ascii="Times New Roman" w:hAnsi="Times New Roman" w:cs="Times New Roman"/>
              </w:rPr>
              <w:t>128.68</w:t>
            </w:r>
          </w:p>
        </w:tc>
      </w:tr>
      <w:tr w:rsidR="00BC4B63" w:rsidRPr="00DC6881" w:rsidTr="00BC4B63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63" w:rsidRPr="00DC6881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B63" w:rsidRPr="0020129A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139.95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63" w:rsidRPr="00BC4B63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B63">
              <w:rPr>
                <w:rFonts w:ascii="Times New Roman" w:hAnsi="Times New Roman" w:cs="Times New Roman"/>
              </w:rPr>
              <w:t>125.50</w:t>
            </w:r>
          </w:p>
        </w:tc>
      </w:tr>
      <w:tr w:rsidR="00BC4B63" w:rsidRPr="00DC6881" w:rsidTr="00BC4B63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63" w:rsidRPr="00DC6881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B63" w:rsidRPr="0020129A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9A">
              <w:rPr>
                <w:rFonts w:ascii="Times New Roman" w:hAnsi="Times New Roman" w:cs="Times New Roman"/>
              </w:rPr>
              <w:t>163.21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63" w:rsidRPr="00BC4B63" w:rsidRDefault="00BC4B63" w:rsidP="00BC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B63">
              <w:rPr>
                <w:rFonts w:ascii="Times New Roman" w:hAnsi="Times New Roman" w:cs="Times New Roman"/>
              </w:rPr>
              <w:t>136.74</w:t>
            </w:r>
          </w:p>
        </w:tc>
      </w:tr>
      <w:tr w:rsidR="00AB0D9B" w:rsidRPr="00DC6881" w:rsidTr="00CF32AE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115A5E">
        <w:rPr>
          <w:rFonts w:ascii="Times New Roman" w:hAnsi="Times New Roman" w:cs="Times New Roman"/>
        </w:rPr>
        <w:t>2 563 414 426.39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115A5E">
        <w:rPr>
          <w:rFonts w:ascii="Times New Roman" w:hAnsi="Times New Roman" w:cs="Times New Roman"/>
        </w:rPr>
        <w:t>69.96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</w:t>
      </w:r>
      <w:bookmarkStart w:id="0" w:name="_GoBack"/>
      <w:bookmarkEnd w:id="0"/>
      <w:r w:rsidRPr="00170956">
        <w:rPr>
          <w:rFonts w:ascii="Times New Roman" w:hAnsi="Times New Roman" w:cs="Times New Roman"/>
        </w:rPr>
        <w:t>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A1150"/>
    <w:rsid w:val="007C1A75"/>
    <w:rsid w:val="007E3BC6"/>
    <w:rsid w:val="007F7E09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57B9"/>
    <w:rsid w:val="00925DE2"/>
    <w:rsid w:val="009332BF"/>
    <w:rsid w:val="009374E5"/>
    <w:rsid w:val="00947B57"/>
    <w:rsid w:val="0096446D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D3C27"/>
    <w:rsid w:val="00AE026A"/>
    <w:rsid w:val="00AF00F2"/>
    <w:rsid w:val="00B053A3"/>
    <w:rsid w:val="00B16085"/>
    <w:rsid w:val="00B231C8"/>
    <w:rsid w:val="00B40149"/>
    <w:rsid w:val="00B51193"/>
    <w:rsid w:val="00B606BD"/>
    <w:rsid w:val="00B934D6"/>
    <w:rsid w:val="00BB64EE"/>
    <w:rsid w:val="00BB7D74"/>
    <w:rsid w:val="00BC2931"/>
    <w:rsid w:val="00BC4B63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45E1"/>
    <w:rsid w:val="00CB5244"/>
    <w:rsid w:val="00CF32AE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94747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7833400"/>
        <c:axId val="257832616"/>
      </c:barChart>
      <c:catAx>
        <c:axId val="257833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832616"/>
        <c:crosses val="autoZero"/>
        <c:auto val="1"/>
        <c:lblAlgn val="ctr"/>
        <c:lblOffset val="100"/>
        <c:noMultiLvlLbl val="0"/>
      </c:catAx>
      <c:valAx>
        <c:axId val="257832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833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BEDE-BAA4-4B22-ABAE-BC6A0E38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187</cp:revision>
  <dcterms:created xsi:type="dcterms:W3CDTF">2021-10-07T09:48:00Z</dcterms:created>
  <dcterms:modified xsi:type="dcterms:W3CDTF">2022-09-09T12:53:00Z</dcterms:modified>
</cp:coreProperties>
</file>